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F58A8" w14:textId="77777777" w:rsidR="006B12AE" w:rsidRDefault="006B12AE" w:rsidP="006B12AE">
      <w:pPr>
        <w:pStyle w:val="Heading1"/>
        <w:spacing w:before="0" w:after="0" w:line="240" w:lineRule="auto"/>
        <w:jc w:val="center"/>
        <w:rPr>
          <w:rFonts w:ascii="Calibri" w:hAnsi="Calibri" w:cs="Arial"/>
          <w:sz w:val="28"/>
          <w:szCs w:val="28"/>
        </w:rPr>
      </w:pPr>
      <w:bookmarkStart w:id="0" w:name="_Hlk72419263"/>
      <w:r>
        <w:rPr>
          <w:rFonts w:ascii="Calibri" w:hAnsi="Calibri" w:cs="Arial"/>
          <w:sz w:val="28"/>
          <w:szCs w:val="28"/>
        </w:rPr>
        <w:t>Invitation to Tender, Aerial Firefighting Rotary Wing Services, 2021+</w:t>
      </w:r>
    </w:p>
    <w:p w14:paraId="1A292054" w14:textId="681A36E9" w:rsidR="00642CBC" w:rsidRPr="003407F7" w:rsidRDefault="006B12AE" w:rsidP="006B12AE">
      <w:pPr>
        <w:pStyle w:val="Heading1"/>
        <w:spacing w:before="0" w:after="0" w:line="240" w:lineRule="auto"/>
        <w:jc w:val="center"/>
        <w:rPr>
          <w:rFonts w:ascii="Calibri" w:hAnsi="Calibri" w:cs="Arial"/>
          <w:sz w:val="28"/>
          <w:szCs w:val="28"/>
        </w:rPr>
      </w:pPr>
      <w:r>
        <w:rPr>
          <w:rFonts w:ascii="Calibri" w:hAnsi="Calibri" w:cs="Arial"/>
          <w:sz w:val="28"/>
          <w:szCs w:val="28"/>
        </w:rPr>
        <w:t>Re</w:t>
      </w:r>
      <w:r w:rsidR="005359BF">
        <w:rPr>
          <w:rFonts w:ascii="Calibri" w:hAnsi="Calibri" w:cs="Arial"/>
          <w:sz w:val="28"/>
          <w:szCs w:val="28"/>
        </w:rPr>
        <w:t>sponse Form</w:t>
      </w:r>
      <w:r w:rsidR="00054EA3">
        <w:rPr>
          <w:rFonts w:ascii="Calibri" w:hAnsi="Calibri" w:cs="Arial"/>
          <w:sz w:val="28"/>
          <w:szCs w:val="28"/>
        </w:rPr>
        <w:t xml:space="preserve"> 4</w:t>
      </w:r>
      <w:r w:rsidR="00440D95">
        <w:rPr>
          <w:rFonts w:ascii="Calibri" w:hAnsi="Calibri" w:cs="Arial"/>
          <w:sz w:val="28"/>
          <w:szCs w:val="28"/>
        </w:rPr>
        <w:t xml:space="preserve"> – </w:t>
      </w:r>
      <w:r w:rsidR="00054EA3">
        <w:rPr>
          <w:rFonts w:ascii="Calibri" w:hAnsi="Calibri" w:cs="Arial"/>
          <w:sz w:val="28"/>
          <w:szCs w:val="28"/>
        </w:rPr>
        <w:t>Pricing Narrative</w:t>
      </w:r>
    </w:p>
    <w:bookmarkEnd w:id="0"/>
    <w:p w14:paraId="36C9F4B5" w14:textId="77777777" w:rsidR="00642CBC" w:rsidRPr="003407F7" w:rsidRDefault="00642CBC" w:rsidP="00642CBC">
      <w:pPr>
        <w:spacing w:after="0" w:line="240" w:lineRule="auto"/>
        <w:rPr>
          <w:rFonts w:eastAsia="Times New Roman" w:cs="Arial"/>
          <w:sz w:val="20"/>
          <w:szCs w:val="20"/>
          <w:lang w:val="en-US" w:eastAsia="en-AU"/>
        </w:rPr>
      </w:pPr>
    </w:p>
    <w:p w14:paraId="3B4EB48F" w14:textId="0AEC818D" w:rsidR="00E34EAE" w:rsidRPr="007F68B6" w:rsidRDefault="00E34EAE" w:rsidP="00E34EAE">
      <w:pPr>
        <w:spacing w:after="60" w:line="240" w:lineRule="auto"/>
        <w:rPr>
          <w:rFonts w:eastAsia="Times New Roman" w:cs="Arial"/>
          <w:i/>
          <w:sz w:val="20"/>
          <w:szCs w:val="20"/>
          <w:lang w:val="en-US" w:eastAsia="en-AU"/>
        </w:rPr>
      </w:pPr>
      <w:r w:rsidRPr="007F68B6">
        <w:rPr>
          <w:rFonts w:eastAsia="Times New Roman" w:cs="Arial"/>
          <w:i/>
          <w:sz w:val="20"/>
          <w:szCs w:val="20"/>
          <w:lang w:val="en-US" w:eastAsia="en-AU"/>
        </w:rPr>
        <w:t xml:space="preserve">Please complete, save and upload this form following the instructions found in the Invitation to Tender document. </w:t>
      </w:r>
    </w:p>
    <w:p w14:paraId="683BEE9D" w14:textId="77777777" w:rsidR="00E34EAE" w:rsidRDefault="00E34EAE" w:rsidP="00E34EAE">
      <w:pPr>
        <w:spacing w:after="60" w:line="240" w:lineRule="auto"/>
        <w:rPr>
          <w:rFonts w:eastAsia="Times New Roman" w:cs="Arial"/>
          <w:i/>
          <w:sz w:val="20"/>
          <w:szCs w:val="20"/>
          <w:lang w:val="en-US" w:eastAsia="en-AU"/>
        </w:rPr>
      </w:pPr>
      <w:r w:rsidRPr="007F68B6">
        <w:rPr>
          <w:rFonts w:eastAsia="Times New Roman" w:cs="Arial"/>
          <w:i/>
          <w:sz w:val="20"/>
          <w:szCs w:val="20"/>
          <w:lang w:val="en-US" w:eastAsia="en-AU"/>
        </w:rPr>
        <w:t>NAFC strongly recommends that tenderers read each question carefully and ensure that responses address the question</w:t>
      </w:r>
      <w:r>
        <w:rPr>
          <w:rFonts w:eastAsia="Times New Roman" w:cs="Arial"/>
          <w:i/>
          <w:sz w:val="20"/>
          <w:szCs w:val="20"/>
          <w:lang w:val="en-US" w:eastAsia="en-AU"/>
        </w:rPr>
        <w:t xml:space="preserve">. </w:t>
      </w:r>
      <w:r w:rsidRPr="007F68B6">
        <w:rPr>
          <w:rFonts w:eastAsia="Times New Roman" w:cs="Arial"/>
          <w:i/>
          <w:sz w:val="20"/>
          <w:szCs w:val="20"/>
          <w:lang w:val="en-US" w:eastAsia="en-AU"/>
        </w:rPr>
        <w:t xml:space="preserve">Note especially that some questions request </w:t>
      </w:r>
      <w:r>
        <w:rPr>
          <w:rFonts w:eastAsia="Times New Roman" w:cs="Arial"/>
          <w:i/>
          <w:sz w:val="20"/>
          <w:szCs w:val="20"/>
          <w:lang w:val="en-US" w:eastAsia="en-AU"/>
        </w:rPr>
        <w:t xml:space="preserve">detailed, </w:t>
      </w:r>
      <w:proofErr w:type="gramStart"/>
      <w:r w:rsidRPr="007F68B6">
        <w:rPr>
          <w:rFonts w:eastAsia="Times New Roman" w:cs="Arial"/>
          <w:i/>
          <w:sz w:val="20"/>
          <w:szCs w:val="20"/>
          <w:lang w:val="en-US" w:eastAsia="en-AU"/>
        </w:rPr>
        <w:t>concise</w:t>
      </w:r>
      <w:proofErr w:type="gramEnd"/>
      <w:r>
        <w:rPr>
          <w:rFonts w:eastAsia="Times New Roman" w:cs="Arial"/>
          <w:i/>
          <w:sz w:val="20"/>
          <w:szCs w:val="20"/>
          <w:lang w:val="en-US" w:eastAsia="en-AU"/>
        </w:rPr>
        <w:t xml:space="preserve"> or summary information which should be considered guidance as to the level of detail to be provided</w:t>
      </w:r>
      <w:r w:rsidRPr="007F68B6">
        <w:rPr>
          <w:rFonts w:eastAsia="Times New Roman" w:cs="Arial"/>
          <w:i/>
          <w:sz w:val="20"/>
          <w:szCs w:val="20"/>
          <w:lang w:val="en-US" w:eastAsia="en-AU"/>
        </w:rPr>
        <w:t>.</w:t>
      </w:r>
    </w:p>
    <w:p w14:paraId="7CBD9473" w14:textId="5B1E061C" w:rsidR="00C97C92" w:rsidRPr="00E34EAE" w:rsidRDefault="00054EA3" w:rsidP="00E34EAE">
      <w:pPr>
        <w:spacing w:after="60" w:line="240" w:lineRule="auto"/>
        <w:rPr>
          <w:rFonts w:eastAsia="Times New Roman" w:cs="Arial"/>
          <w:i/>
          <w:sz w:val="20"/>
          <w:szCs w:val="20"/>
          <w:lang w:val="en-US" w:eastAsia="en-AU"/>
        </w:rPr>
      </w:pPr>
      <w:r w:rsidRPr="00E34EAE">
        <w:rPr>
          <w:rFonts w:eastAsia="Times New Roman" w:cs="Arial"/>
          <w:i/>
          <w:sz w:val="20"/>
          <w:szCs w:val="20"/>
          <w:lang w:val="en-US" w:eastAsia="en-AU"/>
        </w:rPr>
        <w:t xml:space="preserve">Answers </w:t>
      </w:r>
      <w:r w:rsidR="00E34EAE">
        <w:rPr>
          <w:rFonts w:eastAsia="Times New Roman" w:cs="Arial"/>
          <w:i/>
          <w:sz w:val="20"/>
          <w:szCs w:val="20"/>
          <w:lang w:val="en-US" w:eastAsia="en-AU"/>
        </w:rPr>
        <w:t>here</w:t>
      </w:r>
      <w:r w:rsidRPr="00E34EAE">
        <w:rPr>
          <w:rFonts w:eastAsia="Times New Roman" w:cs="Arial"/>
          <w:i/>
          <w:sz w:val="20"/>
          <w:szCs w:val="20"/>
          <w:lang w:val="en-US" w:eastAsia="en-AU"/>
        </w:rPr>
        <w:t xml:space="preserve"> will provide narrative support to pricing provided </w:t>
      </w:r>
      <w:r w:rsidR="00E34EAE">
        <w:rPr>
          <w:rFonts w:eastAsia="Times New Roman" w:cs="Arial"/>
          <w:i/>
          <w:sz w:val="20"/>
          <w:szCs w:val="20"/>
          <w:lang w:val="en-US" w:eastAsia="en-AU"/>
        </w:rPr>
        <w:t xml:space="preserve">in the Pricing Response Form </w:t>
      </w:r>
      <w:r w:rsidRPr="00E34EAE">
        <w:rPr>
          <w:rFonts w:eastAsia="Times New Roman" w:cs="Arial"/>
          <w:i/>
          <w:sz w:val="20"/>
          <w:szCs w:val="20"/>
          <w:lang w:val="en-US" w:eastAsia="en-AU"/>
        </w:rPr>
        <w:t>(Excel)</w:t>
      </w:r>
      <w:r w:rsidR="00C97C92" w:rsidRPr="00E34EAE">
        <w:rPr>
          <w:rFonts w:eastAsia="Times New Roman" w:cs="Arial"/>
          <w:i/>
          <w:sz w:val="20"/>
          <w:szCs w:val="20"/>
          <w:lang w:val="en-US" w:eastAsia="en-AU"/>
        </w:rPr>
        <w:t xml:space="preserve"> </w:t>
      </w:r>
    </w:p>
    <w:p w14:paraId="0FF4F1AC" w14:textId="77777777" w:rsidR="00642CBC" w:rsidRPr="005359BF" w:rsidRDefault="00642CBC" w:rsidP="00642CBC">
      <w:pPr>
        <w:tabs>
          <w:tab w:val="left" w:pos="567"/>
        </w:tabs>
        <w:spacing w:after="60" w:line="240" w:lineRule="exact"/>
        <w:rPr>
          <w:rFonts w:eastAsia="Times New Roman" w:cs="Arial"/>
          <w:color w:val="808080"/>
          <w:szCs w:val="20"/>
          <w:highlight w:val="yellow"/>
          <w:lang w:val="en-US" w:eastAsia="en-AU"/>
        </w:rPr>
      </w:pPr>
    </w:p>
    <w:p w14:paraId="7C5F550C" w14:textId="0949F1FE" w:rsidR="00054EA3" w:rsidRPr="00B9702C" w:rsidRDefault="00054EA3" w:rsidP="00054EA3">
      <w:pPr>
        <w:pStyle w:val="ListParagraph"/>
        <w:spacing w:after="120"/>
        <w:ind w:left="0" w:firstLine="0"/>
        <w:contextualSpacing w:val="0"/>
        <w:outlineLvl w:val="2"/>
        <w:rPr>
          <w:rFonts w:asciiTheme="minorHAnsi" w:eastAsiaTheme="majorEastAsia" w:hAnsiTheme="minorHAnsi" w:cstheme="majorBidi"/>
          <w:b/>
          <w:bCs/>
          <w:szCs w:val="22"/>
          <w:lang w:eastAsia="en-US"/>
        </w:rPr>
      </w:pPr>
      <w:bookmarkStart w:id="1" w:name="_Toc335657839"/>
      <w:bookmarkStart w:id="2" w:name="_Toc335811090"/>
      <w:bookmarkStart w:id="3" w:name="_Toc338668847"/>
      <w:r>
        <w:rPr>
          <w:rFonts w:asciiTheme="minorHAnsi" w:eastAsiaTheme="majorEastAsia" w:hAnsiTheme="minorHAnsi" w:cstheme="majorBidi"/>
          <w:b/>
          <w:bCs/>
          <w:szCs w:val="22"/>
          <w:lang w:eastAsia="en-US"/>
        </w:rPr>
        <w:t xml:space="preserve">SECTION 10 - </w:t>
      </w:r>
      <w:r w:rsidRPr="00B9702C">
        <w:rPr>
          <w:rFonts w:asciiTheme="minorHAnsi" w:eastAsiaTheme="majorEastAsia" w:hAnsiTheme="minorHAnsi" w:cstheme="majorBidi"/>
          <w:b/>
          <w:bCs/>
          <w:szCs w:val="22"/>
          <w:lang w:eastAsia="en-US"/>
        </w:rPr>
        <w:t>PRICING NARRATIVE</w:t>
      </w:r>
      <w:r>
        <w:rPr>
          <w:rFonts w:asciiTheme="minorHAnsi" w:eastAsiaTheme="majorEastAsia" w:hAnsiTheme="minorHAnsi" w:cstheme="majorBidi"/>
          <w:b/>
          <w:bCs/>
          <w:szCs w:val="22"/>
          <w:lang w:eastAsia="en-US"/>
        </w:rPr>
        <w:t xml:space="preserve"> </w:t>
      </w:r>
    </w:p>
    <w:p w14:paraId="704EAEE8" w14:textId="77777777" w:rsidR="00054EA3" w:rsidRPr="00467C0B" w:rsidRDefault="00054EA3" w:rsidP="00054EA3">
      <w:pPr>
        <w:rPr>
          <w:rFonts w:asciiTheme="minorHAnsi" w:hAnsiTheme="minorHAnsi" w:cstheme="minorHAnsi"/>
        </w:rPr>
      </w:pPr>
      <w:r w:rsidRPr="00467C0B">
        <w:rPr>
          <w:rFonts w:asciiTheme="minorHAnsi" w:hAnsiTheme="minorHAnsi" w:cstheme="minorHAnsi"/>
        </w:rPr>
        <w:t xml:space="preserve">Complete </w:t>
      </w:r>
      <w:r w:rsidRPr="00467C0B">
        <w:rPr>
          <w:rFonts w:asciiTheme="minorHAnsi" w:hAnsiTheme="minorHAnsi" w:cstheme="minorHAnsi"/>
          <w:i/>
        </w:rPr>
        <w:t>Response S</w:t>
      </w:r>
      <w:r>
        <w:rPr>
          <w:rFonts w:asciiTheme="minorHAnsi" w:hAnsiTheme="minorHAnsi" w:cstheme="minorHAnsi"/>
          <w:i/>
        </w:rPr>
        <w:t>3</w:t>
      </w:r>
      <w:r w:rsidRPr="00467C0B">
        <w:rPr>
          <w:rFonts w:asciiTheme="minorHAnsi" w:hAnsiTheme="minorHAnsi" w:cstheme="minorHAnsi"/>
          <w:i/>
        </w:rPr>
        <w:t xml:space="preserve"> – Pricing Narrative</w:t>
      </w:r>
      <w:r w:rsidRPr="00467C0B">
        <w:rPr>
          <w:rFonts w:asciiTheme="minorHAnsi" w:hAnsiTheme="minorHAnsi" w:cstheme="minorHAnsi"/>
        </w:rPr>
        <w:t xml:space="preserve"> Response Form to include any information about the competitive advantage, service benefits or conditions of the pricing.</w:t>
      </w:r>
    </w:p>
    <w:p w14:paraId="1598FCBC" w14:textId="77777777" w:rsidR="00054EA3" w:rsidRPr="00467C0B" w:rsidRDefault="00054EA3" w:rsidP="00054EA3">
      <w:pPr>
        <w:spacing w:after="360"/>
        <w:rPr>
          <w:rFonts w:asciiTheme="minorHAnsi" w:hAnsiTheme="minorHAnsi" w:cstheme="minorHAnsi"/>
        </w:rPr>
      </w:pPr>
      <w:r w:rsidRPr="00467C0B">
        <w:rPr>
          <w:rFonts w:asciiTheme="minorHAnsi" w:hAnsiTheme="minorHAnsi" w:cstheme="minorHAnsi"/>
        </w:rPr>
        <w:t xml:space="preserve">Tenderers may upload additional narrative information in separate Excel spreadsheets, </w:t>
      </w:r>
      <w:proofErr w:type="gramStart"/>
      <w:r w:rsidRPr="00467C0B">
        <w:rPr>
          <w:rFonts w:asciiTheme="minorHAnsi" w:hAnsiTheme="minorHAnsi" w:cstheme="minorHAnsi"/>
        </w:rPr>
        <w:t>Word</w:t>
      </w:r>
      <w:proofErr w:type="gramEnd"/>
      <w:r w:rsidRPr="00467C0B">
        <w:rPr>
          <w:rFonts w:asciiTheme="minorHAnsi" w:hAnsiTheme="minorHAnsi" w:cstheme="minorHAnsi"/>
        </w:rPr>
        <w:t xml:space="preserve"> or PDF documents. To upload multiple </w:t>
      </w:r>
      <w:proofErr w:type="gramStart"/>
      <w:r w:rsidRPr="00467C0B">
        <w:rPr>
          <w:rFonts w:asciiTheme="minorHAnsi" w:hAnsiTheme="minorHAnsi" w:cstheme="minorHAnsi"/>
        </w:rPr>
        <w:t>files</w:t>
      </w:r>
      <w:proofErr w:type="gramEnd"/>
      <w:r w:rsidRPr="00467C0B">
        <w:rPr>
          <w:rFonts w:asciiTheme="minorHAnsi" w:hAnsiTheme="minorHAnsi" w:cstheme="minorHAnsi"/>
        </w:rPr>
        <w:t xml:space="preserve"> you may need to combine them as a ZIP file and then upload the ZIP file.</w:t>
      </w:r>
    </w:p>
    <w:p w14:paraId="292474EA" w14:textId="3639ADCF" w:rsidR="00054EA3" w:rsidRPr="00B9702C" w:rsidRDefault="00054EA3" w:rsidP="00054EA3">
      <w:pPr>
        <w:spacing w:after="120" w:line="240" w:lineRule="auto"/>
        <w:outlineLvl w:val="2"/>
        <w:rPr>
          <w:rFonts w:asciiTheme="minorHAnsi" w:eastAsiaTheme="majorEastAsia" w:hAnsiTheme="minorHAnsi" w:cstheme="majorBidi"/>
          <w:b/>
          <w:bCs/>
        </w:rPr>
      </w:pPr>
      <w:bookmarkStart w:id="4" w:name="_Toc63261166"/>
      <w:r>
        <w:rPr>
          <w:rFonts w:asciiTheme="minorHAnsi" w:eastAsiaTheme="majorEastAsia" w:hAnsiTheme="minorHAnsi" w:cstheme="majorBidi"/>
          <w:b/>
          <w:bCs/>
        </w:rPr>
        <w:t xml:space="preserve">10.1 </w:t>
      </w:r>
      <w:r w:rsidRPr="00B9702C">
        <w:rPr>
          <w:rFonts w:asciiTheme="minorHAnsi" w:eastAsiaTheme="majorEastAsia" w:hAnsiTheme="minorHAnsi" w:cstheme="majorBidi"/>
          <w:b/>
          <w:bCs/>
        </w:rPr>
        <w:t>Pricing Summary</w:t>
      </w:r>
      <w:bookmarkEnd w:id="4"/>
    </w:p>
    <w:p w14:paraId="76A60CD2" w14:textId="77777777" w:rsidR="00054EA3" w:rsidRPr="00054EA3" w:rsidRDefault="00054EA3" w:rsidP="00054EA3">
      <w:pPr>
        <w:keepNext/>
        <w:keepLines/>
        <w:rPr>
          <w:rFonts w:cs="Arial"/>
          <w:i/>
          <w:color w:val="17365D"/>
        </w:rPr>
      </w:pPr>
      <w:r w:rsidRPr="00054EA3">
        <w:rPr>
          <w:rFonts w:cs="Arial"/>
          <w:i/>
          <w:color w:val="17365D"/>
        </w:rPr>
        <w:t>Provide a concise narrative summary of your pricing response. Include the benefits of your tender pricing from value and service delivery perspectives.</w:t>
      </w:r>
    </w:p>
    <w:p w14:paraId="32D4C3CE" w14:textId="77777777" w:rsidR="00054EA3" w:rsidRPr="003407F7" w:rsidRDefault="00054EA3" w:rsidP="00054EA3">
      <w:pPr>
        <w:rPr>
          <w:rFonts w:cs="Arial"/>
          <w:color w:val="17365D"/>
        </w:rPr>
      </w:pPr>
      <w:r w:rsidRPr="003407F7">
        <w:rPr>
          <w:rFonts w:cs="Arial"/>
          <w:color w:val="C0504D"/>
        </w:rPr>
        <w:t>&lt;Insert your response here&gt;</w:t>
      </w:r>
    </w:p>
    <w:p w14:paraId="5B46CFFF" w14:textId="77777777" w:rsidR="00054EA3" w:rsidRPr="00467C0B" w:rsidRDefault="00054EA3" w:rsidP="00054EA3">
      <w:pPr>
        <w:rPr>
          <w:rFonts w:asciiTheme="minorHAnsi" w:hAnsiTheme="minorHAnsi" w:cstheme="minorHAnsi"/>
        </w:rPr>
      </w:pPr>
    </w:p>
    <w:p w14:paraId="46A63F48" w14:textId="5B82A191" w:rsidR="00054EA3" w:rsidRPr="00B9702C" w:rsidRDefault="00054EA3" w:rsidP="00054EA3">
      <w:pPr>
        <w:spacing w:after="120" w:line="240" w:lineRule="auto"/>
        <w:outlineLvl w:val="2"/>
        <w:rPr>
          <w:rFonts w:asciiTheme="minorHAnsi" w:eastAsiaTheme="majorEastAsia" w:hAnsiTheme="minorHAnsi" w:cstheme="majorBidi"/>
          <w:b/>
          <w:bCs/>
        </w:rPr>
      </w:pPr>
      <w:bookmarkStart w:id="5" w:name="_Toc63261167"/>
      <w:r>
        <w:rPr>
          <w:rFonts w:asciiTheme="minorHAnsi" w:eastAsiaTheme="majorEastAsia" w:hAnsiTheme="minorHAnsi" w:cstheme="majorBidi"/>
          <w:b/>
          <w:bCs/>
        </w:rPr>
        <w:t xml:space="preserve">10.2 </w:t>
      </w:r>
      <w:r w:rsidRPr="00B9702C">
        <w:rPr>
          <w:rFonts w:asciiTheme="minorHAnsi" w:eastAsiaTheme="majorEastAsia" w:hAnsiTheme="minorHAnsi" w:cstheme="majorBidi"/>
          <w:b/>
          <w:bCs/>
        </w:rPr>
        <w:t>Multiple Services</w:t>
      </w:r>
      <w:bookmarkEnd w:id="5"/>
    </w:p>
    <w:p w14:paraId="72D6783B" w14:textId="0CD2BE30" w:rsidR="00054EA3" w:rsidRDefault="00054EA3" w:rsidP="00054EA3">
      <w:pPr>
        <w:keepNext/>
        <w:keepLines/>
        <w:rPr>
          <w:rFonts w:cs="Arial"/>
          <w:i/>
          <w:color w:val="17365D"/>
        </w:rPr>
      </w:pPr>
      <w:r w:rsidRPr="00054EA3">
        <w:rPr>
          <w:rFonts w:cs="Arial"/>
          <w:i/>
          <w:color w:val="17365D"/>
        </w:rPr>
        <w:t xml:space="preserve">Where tendering prices for the provision of multiple Services, detail any pricing benefits related to provision of the multiple Services. These benefits may </w:t>
      </w:r>
      <w:proofErr w:type="gramStart"/>
      <w:r w:rsidRPr="00054EA3">
        <w:rPr>
          <w:rFonts w:cs="Arial"/>
          <w:i/>
          <w:color w:val="17365D"/>
        </w:rPr>
        <w:t>include;</w:t>
      </w:r>
      <w:proofErr w:type="gramEnd"/>
      <w:r w:rsidRPr="00054EA3">
        <w:rPr>
          <w:rFonts w:cs="Arial"/>
          <w:i/>
          <w:color w:val="17365D"/>
        </w:rPr>
        <w:t xml:space="preserve"> a reduction in overall price, a reduction in the pricing of an individual Service or other innovative pricing offers.</w:t>
      </w:r>
    </w:p>
    <w:p w14:paraId="0BD6FCC0" w14:textId="0485607B" w:rsidR="00520B91" w:rsidRPr="00054EA3" w:rsidRDefault="00520B91" w:rsidP="00054EA3">
      <w:pPr>
        <w:keepNext/>
        <w:keepLines/>
        <w:rPr>
          <w:rFonts w:cs="Arial"/>
          <w:i/>
          <w:color w:val="17365D"/>
        </w:rPr>
      </w:pPr>
      <w:r w:rsidRPr="00520B91">
        <w:rPr>
          <w:rFonts w:cs="Arial"/>
          <w:i/>
          <w:color w:val="17365D"/>
        </w:rPr>
        <w:t xml:space="preserve">This information should be in addition to </w:t>
      </w:r>
      <w:r>
        <w:rPr>
          <w:rFonts w:cs="Arial"/>
          <w:i/>
          <w:color w:val="17365D"/>
        </w:rPr>
        <w:t>the</w:t>
      </w:r>
      <w:r w:rsidRPr="00520B91">
        <w:rPr>
          <w:rFonts w:cs="Arial"/>
          <w:i/>
          <w:color w:val="17365D"/>
        </w:rPr>
        <w:t xml:space="preserve"> base price</w:t>
      </w:r>
      <w:r>
        <w:rPr>
          <w:rFonts w:cs="Arial"/>
          <w:i/>
          <w:color w:val="17365D"/>
        </w:rPr>
        <w:t>/s</w:t>
      </w:r>
      <w:r w:rsidRPr="00520B91">
        <w:rPr>
          <w:rFonts w:cs="Arial"/>
          <w:i/>
          <w:color w:val="17365D"/>
        </w:rPr>
        <w:t xml:space="preserve"> quoted on the Pricing Response Form (Excel).</w:t>
      </w:r>
    </w:p>
    <w:p w14:paraId="27688C28" w14:textId="77777777" w:rsidR="00054EA3" w:rsidRPr="003407F7" w:rsidRDefault="00054EA3" w:rsidP="00054EA3">
      <w:pPr>
        <w:rPr>
          <w:rFonts w:cs="Arial"/>
          <w:color w:val="17365D"/>
        </w:rPr>
      </w:pPr>
      <w:r w:rsidRPr="003407F7">
        <w:rPr>
          <w:rFonts w:cs="Arial"/>
          <w:color w:val="C0504D"/>
        </w:rPr>
        <w:t>&lt;Insert your response here&gt;</w:t>
      </w:r>
    </w:p>
    <w:p w14:paraId="28CF6FCA" w14:textId="77777777" w:rsidR="00054EA3" w:rsidRPr="00467C0B" w:rsidRDefault="00054EA3" w:rsidP="00054EA3">
      <w:pPr>
        <w:rPr>
          <w:rFonts w:asciiTheme="minorHAnsi" w:hAnsiTheme="minorHAnsi" w:cstheme="minorHAnsi"/>
        </w:rPr>
      </w:pPr>
    </w:p>
    <w:p w14:paraId="390051B4" w14:textId="481A9050" w:rsidR="00054EA3" w:rsidRPr="00B9702C" w:rsidRDefault="00054EA3" w:rsidP="00054EA3">
      <w:pPr>
        <w:spacing w:after="120" w:line="240" w:lineRule="auto"/>
        <w:outlineLvl w:val="2"/>
        <w:rPr>
          <w:rFonts w:asciiTheme="minorHAnsi" w:eastAsiaTheme="majorEastAsia" w:hAnsiTheme="minorHAnsi" w:cstheme="majorBidi"/>
          <w:b/>
          <w:bCs/>
        </w:rPr>
      </w:pPr>
      <w:bookmarkStart w:id="6" w:name="_Toc63261168"/>
      <w:r>
        <w:rPr>
          <w:rFonts w:asciiTheme="minorHAnsi" w:eastAsiaTheme="majorEastAsia" w:hAnsiTheme="minorHAnsi" w:cstheme="majorBidi"/>
          <w:b/>
          <w:bCs/>
        </w:rPr>
        <w:t xml:space="preserve">10.3 </w:t>
      </w:r>
      <w:r w:rsidRPr="00B9702C">
        <w:rPr>
          <w:rFonts w:asciiTheme="minorHAnsi" w:eastAsiaTheme="majorEastAsia" w:hAnsiTheme="minorHAnsi" w:cstheme="majorBidi"/>
          <w:b/>
          <w:bCs/>
        </w:rPr>
        <w:t>Availability Outside the Service Period (Ad hoc Availability)</w:t>
      </w:r>
      <w:bookmarkEnd w:id="6"/>
    </w:p>
    <w:p w14:paraId="5C4B3E81" w14:textId="77777777" w:rsidR="00054EA3" w:rsidRPr="00054EA3" w:rsidRDefault="00054EA3" w:rsidP="00054EA3">
      <w:pPr>
        <w:keepNext/>
        <w:keepLines/>
        <w:rPr>
          <w:rFonts w:cs="Arial"/>
          <w:i/>
          <w:color w:val="17365D"/>
        </w:rPr>
      </w:pPr>
      <w:r w:rsidRPr="00054EA3">
        <w:rPr>
          <w:rFonts w:cs="Arial"/>
          <w:i/>
          <w:color w:val="17365D"/>
        </w:rPr>
        <w:t>Provide any additional details as to any charges or conditions that may apply for making the aircraft available outside a Service Period for ad hoc engagement. Include details of any proposed availability arrangements for ad hoc periods.</w:t>
      </w:r>
    </w:p>
    <w:p w14:paraId="2ABB48F3" w14:textId="77777777" w:rsidR="00054EA3" w:rsidRPr="003407F7" w:rsidRDefault="00054EA3" w:rsidP="00054EA3">
      <w:pPr>
        <w:rPr>
          <w:rFonts w:cs="Arial"/>
          <w:color w:val="17365D"/>
        </w:rPr>
      </w:pPr>
      <w:r w:rsidRPr="003407F7">
        <w:rPr>
          <w:rFonts w:cs="Arial"/>
          <w:color w:val="C0504D"/>
        </w:rPr>
        <w:t>&lt;Insert your response here&gt;</w:t>
      </w:r>
    </w:p>
    <w:p w14:paraId="4DA9CC14" w14:textId="77777777" w:rsidR="00054EA3" w:rsidRPr="00467C0B" w:rsidRDefault="00054EA3" w:rsidP="00054EA3">
      <w:pPr>
        <w:rPr>
          <w:rFonts w:asciiTheme="minorHAnsi" w:hAnsiTheme="minorHAnsi" w:cstheme="minorHAnsi"/>
        </w:rPr>
      </w:pPr>
    </w:p>
    <w:p w14:paraId="060706B7" w14:textId="54A9FA4F" w:rsidR="00054EA3" w:rsidRPr="00B9702C" w:rsidRDefault="00054EA3" w:rsidP="00054EA3">
      <w:pPr>
        <w:spacing w:after="120" w:line="240" w:lineRule="auto"/>
        <w:outlineLvl w:val="2"/>
        <w:rPr>
          <w:rFonts w:asciiTheme="minorHAnsi" w:eastAsiaTheme="majorEastAsia" w:hAnsiTheme="minorHAnsi" w:cstheme="majorBidi"/>
          <w:b/>
          <w:bCs/>
        </w:rPr>
      </w:pPr>
      <w:bookmarkStart w:id="7" w:name="_Toc63261170"/>
      <w:r>
        <w:rPr>
          <w:rFonts w:asciiTheme="minorHAnsi" w:eastAsiaTheme="majorEastAsia" w:hAnsiTheme="minorHAnsi" w:cstheme="majorBidi"/>
          <w:b/>
          <w:bCs/>
        </w:rPr>
        <w:t xml:space="preserve">10.4 </w:t>
      </w:r>
      <w:r w:rsidRPr="00B9702C">
        <w:rPr>
          <w:rFonts w:asciiTheme="minorHAnsi" w:eastAsiaTheme="majorEastAsia" w:hAnsiTheme="minorHAnsi" w:cstheme="majorBidi"/>
          <w:b/>
          <w:bCs/>
        </w:rPr>
        <w:t xml:space="preserve">Fuelling, </w:t>
      </w:r>
      <w:proofErr w:type="gramStart"/>
      <w:r w:rsidRPr="00B9702C">
        <w:rPr>
          <w:rFonts w:asciiTheme="minorHAnsi" w:eastAsiaTheme="majorEastAsia" w:hAnsiTheme="minorHAnsi" w:cstheme="majorBidi"/>
          <w:b/>
          <w:bCs/>
        </w:rPr>
        <w:t>Facilities</w:t>
      </w:r>
      <w:proofErr w:type="gramEnd"/>
      <w:r w:rsidRPr="00B9702C">
        <w:rPr>
          <w:rFonts w:asciiTheme="minorHAnsi" w:eastAsiaTheme="majorEastAsia" w:hAnsiTheme="minorHAnsi" w:cstheme="majorBidi"/>
          <w:b/>
          <w:bCs/>
        </w:rPr>
        <w:t xml:space="preserve"> and Infrastructure</w:t>
      </w:r>
      <w:bookmarkEnd w:id="7"/>
    </w:p>
    <w:p w14:paraId="56996016" w14:textId="77777777" w:rsidR="00054EA3" w:rsidRPr="00054EA3" w:rsidRDefault="00054EA3" w:rsidP="00054EA3">
      <w:pPr>
        <w:keepNext/>
        <w:keepLines/>
        <w:rPr>
          <w:rFonts w:cs="Arial"/>
          <w:i/>
          <w:color w:val="17365D"/>
        </w:rPr>
      </w:pPr>
      <w:r w:rsidRPr="00054EA3">
        <w:rPr>
          <w:rFonts w:cs="Arial"/>
          <w:i/>
          <w:color w:val="17365D"/>
        </w:rPr>
        <w:lastRenderedPageBreak/>
        <w:t>Provide any additional information pertaining to the tendered pricing for fuelling, facilities and infrastructure which may be considered alongside information provided in Question 7.19: (Fuelling Facilities / MFU). Include any detail or pricing for capability offered in addition to the Service requirements detailed in the Table of Services, e.g., an offer of a MFU for a Wet-B Service.</w:t>
      </w:r>
    </w:p>
    <w:p w14:paraId="6DEA6D8A" w14:textId="77777777" w:rsidR="00054EA3" w:rsidRPr="003407F7" w:rsidRDefault="00054EA3" w:rsidP="00054EA3">
      <w:pPr>
        <w:rPr>
          <w:rFonts w:cs="Arial"/>
          <w:color w:val="17365D"/>
        </w:rPr>
      </w:pPr>
      <w:r w:rsidRPr="003407F7">
        <w:rPr>
          <w:rFonts w:cs="Arial"/>
          <w:color w:val="C0504D"/>
        </w:rPr>
        <w:t>&lt;Insert your response here&gt;</w:t>
      </w:r>
    </w:p>
    <w:p w14:paraId="55082261" w14:textId="77777777" w:rsidR="00054EA3" w:rsidRPr="00467C0B" w:rsidRDefault="00054EA3" w:rsidP="00054EA3">
      <w:pPr>
        <w:rPr>
          <w:rFonts w:asciiTheme="minorHAnsi" w:hAnsiTheme="minorHAnsi" w:cstheme="minorHAnsi"/>
        </w:rPr>
      </w:pPr>
    </w:p>
    <w:p w14:paraId="341BBCC7" w14:textId="36F1B9CB" w:rsidR="00054EA3" w:rsidRPr="00B9702C" w:rsidRDefault="00054EA3" w:rsidP="00054EA3">
      <w:pPr>
        <w:spacing w:after="120" w:line="240" w:lineRule="auto"/>
        <w:outlineLvl w:val="2"/>
        <w:rPr>
          <w:rFonts w:asciiTheme="minorHAnsi" w:eastAsiaTheme="majorEastAsia" w:hAnsiTheme="minorHAnsi" w:cstheme="majorBidi"/>
          <w:b/>
          <w:bCs/>
        </w:rPr>
      </w:pPr>
      <w:bookmarkStart w:id="8" w:name="_Toc63261173"/>
      <w:r>
        <w:rPr>
          <w:rFonts w:asciiTheme="minorHAnsi" w:eastAsiaTheme="majorEastAsia" w:hAnsiTheme="minorHAnsi" w:cstheme="majorBidi"/>
          <w:b/>
          <w:bCs/>
        </w:rPr>
        <w:t xml:space="preserve">10.5 </w:t>
      </w:r>
      <w:r w:rsidRPr="00B9702C">
        <w:rPr>
          <w:rFonts w:asciiTheme="minorHAnsi" w:eastAsiaTheme="majorEastAsia" w:hAnsiTheme="minorHAnsi" w:cstheme="majorBidi"/>
          <w:b/>
          <w:bCs/>
        </w:rPr>
        <w:t>Charges for Preferred, Optional or Additional Capabilities</w:t>
      </w:r>
      <w:bookmarkEnd w:id="8"/>
    </w:p>
    <w:p w14:paraId="2725FA75" w14:textId="331B7F27" w:rsidR="00054EA3" w:rsidRPr="00054EA3" w:rsidRDefault="00054EA3" w:rsidP="00054EA3">
      <w:pPr>
        <w:keepNext/>
        <w:keepLines/>
        <w:rPr>
          <w:rFonts w:cs="Arial"/>
          <w:i/>
          <w:color w:val="17365D"/>
        </w:rPr>
      </w:pPr>
      <w:r w:rsidRPr="00054EA3">
        <w:rPr>
          <w:rFonts w:cs="Arial"/>
          <w:i/>
          <w:color w:val="17365D"/>
        </w:rPr>
        <w:t xml:space="preserve">If </w:t>
      </w:r>
      <w:r w:rsidR="00E12FCD">
        <w:rPr>
          <w:rFonts w:cs="Arial"/>
          <w:i/>
          <w:color w:val="17365D"/>
        </w:rPr>
        <w:t xml:space="preserve">tendering pricing </w:t>
      </w:r>
      <w:r w:rsidRPr="00054EA3">
        <w:rPr>
          <w:rFonts w:cs="Arial"/>
          <w:i/>
          <w:color w:val="17365D"/>
        </w:rPr>
        <w:t>for Services that include any Preferred or Optional components as listed on the Table of Services, e.g., NVIS, Rappelling, Winching, etc., provide any additional pricing information or explanatory narrative. Include a description of any proposed alternative pricing models that are considered to offer value, service delivery, or other advantages to NAFC and its Members.</w:t>
      </w:r>
    </w:p>
    <w:p w14:paraId="55792A1D" w14:textId="2F25136E" w:rsidR="00054EA3" w:rsidRDefault="00054EA3" w:rsidP="00054EA3">
      <w:pPr>
        <w:rPr>
          <w:rFonts w:cs="Arial"/>
          <w:color w:val="C0504D"/>
        </w:rPr>
      </w:pPr>
      <w:r w:rsidRPr="003407F7">
        <w:rPr>
          <w:rFonts w:cs="Arial"/>
          <w:color w:val="C0504D"/>
        </w:rPr>
        <w:t>&lt;Insert your response here&gt;</w:t>
      </w:r>
    </w:p>
    <w:p w14:paraId="3C6731DC" w14:textId="1C8B8C8E" w:rsidR="00054EA3" w:rsidRDefault="00054EA3" w:rsidP="00054EA3">
      <w:pPr>
        <w:rPr>
          <w:rFonts w:cs="Arial"/>
          <w:color w:val="17365D"/>
        </w:rPr>
      </w:pPr>
    </w:p>
    <w:p w14:paraId="66F7E293" w14:textId="6728B351" w:rsidR="00A96D1B" w:rsidRPr="00B9702C" w:rsidRDefault="00A96D1B" w:rsidP="00A96D1B">
      <w:pPr>
        <w:spacing w:after="120" w:line="240" w:lineRule="auto"/>
        <w:outlineLvl w:val="2"/>
        <w:rPr>
          <w:rFonts w:asciiTheme="minorHAnsi" w:eastAsiaTheme="majorEastAsia" w:hAnsiTheme="minorHAnsi" w:cstheme="majorBidi"/>
          <w:b/>
          <w:bCs/>
        </w:rPr>
      </w:pPr>
      <w:r>
        <w:rPr>
          <w:rFonts w:asciiTheme="minorHAnsi" w:eastAsiaTheme="majorEastAsia" w:hAnsiTheme="minorHAnsi" w:cstheme="majorBidi"/>
          <w:b/>
          <w:bCs/>
        </w:rPr>
        <w:t>10.</w:t>
      </w:r>
      <w:r>
        <w:rPr>
          <w:rFonts w:asciiTheme="minorHAnsi" w:eastAsiaTheme="majorEastAsia" w:hAnsiTheme="minorHAnsi" w:cstheme="majorBidi"/>
          <w:b/>
          <w:bCs/>
        </w:rPr>
        <w:t>6</w:t>
      </w:r>
      <w:r>
        <w:rPr>
          <w:rFonts w:asciiTheme="minorHAnsi" w:eastAsiaTheme="majorEastAsia" w:hAnsiTheme="minorHAnsi" w:cstheme="majorBidi"/>
          <w:b/>
          <w:bCs/>
        </w:rPr>
        <w:t xml:space="preserve"> Annual Price Adjustments</w:t>
      </w:r>
      <w:r w:rsidRPr="00B9702C">
        <w:rPr>
          <w:rFonts w:asciiTheme="minorHAnsi" w:eastAsiaTheme="majorEastAsia" w:hAnsiTheme="minorHAnsi" w:cstheme="majorBidi"/>
          <w:b/>
          <w:bCs/>
        </w:rPr>
        <w:t xml:space="preserve"> </w:t>
      </w:r>
    </w:p>
    <w:p w14:paraId="4EBC18FD" w14:textId="5249CDE6" w:rsidR="00A96D1B" w:rsidRPr="00054EA3" w:rsidRDefault="00A96D1B" w:rsidP="00A96D1B">
      <w:pPr>
        <w:keepNext/>
        <w:keepLines/>
        <w:rPr>
          <w:rFonts w:cs="Arial"/>
          <w:i/>
          <w:color w:val="17365D"/>
        </w:rPr>
      </w:pPr>
      <w:r w:rsidRPr="00A96D1B">
        <w:rPr>
          <w:rFonts w:cs="Arial"/>
          <w:i/>
          <w:color w:val="17365D"/>
        </w:rPr>
        <w:t>If a tenderer chooses to apply annual rise and fall adjustments to prices and prefers to tender an alternative to the compliant CPI model, clearly describe the preferred annual price adjustment here. This may include stated prices for each year, or a set percentage adjustment, or a hybrid model, etc</w:t>
      </w:r>
      <w:r>
        <w:rPr>
          <w:rFonts w:cs="Arial"/>
          <w:i/>
          <w:color w:val="17365D"/>
        </w:rPr>
        <w:t>.</w:t>
      </w:r>
    </w:p>
    <w:p w14:paraId="211777DB" w14:textId="77777777" w:rsidR="00A96D1B" w:rsidRDefault="00A96D1B" w:rsidP="00A96D1B">
      <w:pPr>
        <w:rPr>
          <w:rFonts w:cs="Arial"/>
          <w:color w:val="C0504D"/>
        </w:rPr>
      </w:pPr>
      <w:r w:rsidRPr="003407F7">
        <w:rPr>
          <w:rFonts w:cs="Arial"/>
          <w:color w:val="C0504D"/>
        </w:rPr>
        <w:t>&lt;Insert your response here&gt;</w:t>
      </w:r>
    </w:p>
    <w:p w14:paraId="309BE047" w14:textId="77777777" w:rsidR="00A96D1B" w:rsidRPr="003407F7" w:rsidRDefault="00A96D1B" w:rsidP="00054EA3">
      <w:pPr>
        <w:rPr>
          <w:rFonts w:cs="Arial"/>
          <w:color w:val="17365D"/>
        </w:rPr>
      </w:pPr>
    </w:p>
    <w:p w14:paraId="40BA4C2E" w14:textId="6E5F3BEF" w:rsidR="00054EA3" w:rsidRPr="00B9702C" w:rsidRDefault="00054EA3" w:rsidP="00054EA3">
      <w:pPr>
        <w:spacing w:after="120" w:line="240" w:lineRule="auto"/>
        <w:outlineLvl w:val="2"/>
        <w:rPr>
          <w:rFonts w:asciiTheme="minorHAnsi" w:eastAsiaTheme="majorEastAsia" w:hAnsiTheme="minorHAnsi" w:cstheme="majorBidi"/>
          <w:b/>
          <w:bCs/>
        </w:rPr>
      </w:pPr>
      <w:bookmarkStart w:id="9" w:name="_Toc63261174"/>
      <w:r>
        <w:rPr>
          <w:rFonts w:asciiTheme="minorHAnsi" w:eastAsiaTheme="majorEastAsia" w:hAnsiTheme="minorHAnsi" w:cstheme="majorBidi"/>
          <w:b/>
          <w:bCs/>
        </w:rPr>
        <w:t xml:space="preserve">10.6 </w:t>
      </w:r>
      <w:r w:rsidRPr="00B9702C">
        <w:rPr>
          <w:rFonts w:asciiTheme="minorHAnsi" w:eastAsiaTheme="majorEastAsia" w:hAnsiTheme="minorHAnsi" w:cstheme="majorBidi"/>
          <w:b/>
          <w:bCs/>
        </w:rPr>
        <w:t>Further Information</w:t>
      </w:r>
      <w:bookmarkEnd w:id="9"/>
    </w:p>
    <w:p w14:paraId="46095A8D" w14:textId="3856A738" w:rsidR="00054EA3" w:rsidRDefault="00054EA3" w:rsidP="00054EA3">
      <w:pPr>
        <w:keepNext/>
        <w:keepLines/>
        <w:rPr>
          <w:rFonts w:cs="Arial"/>
          <w:i/>
          <w:color w:val="17365D"/>
        </w:rPr>
      </w:pPr>
      <w:r w:rsidRPr="00054EA3">
        <w:rPr>
          <w:rFonts w:cs="Arial"/>
          <w:i/>
          <w:color w:val="17365D"/>
        </w:rPr>
        <w:t>Detail any additional information.</w:t>
      </w:r>
    </w:p>
    <w:p w14:paraId="675F013A" w14:textId="77777777" w:rsidR="00054EA3" w:rsidRPr="003407F7" w:rsidRDefault="00054EA3" w:rsidP="00054EA3">
      <w:pPr>
        <w:rPr>
          <w:rFonts w:cs="Arial"/>
          <w:color w:val="17365D"/>
        </w:rPr>
      </w:pPr>
      <w:r w:rsidRPr="003407F7">
        <w:rPr>
          <w:rFonts w:cs="Arial"/>
          <w:color w:val="C0504D"/>
        </w:rPr>
        <w:t>&lt;Insert your response here&gt;</w:t>
      </w:r>
    </w:p>
    <w:bookmarkEnd w:id="1"/>
    <w:bookmarkEnd w:id="2"/>
    <w:bookmarkEnd w:id="3"/>
    <w:sectPr w:rsidR="00054EA3" w:rsidRPr="003407F7" w:rsidSect="00642CBC">
      <w:headerReference w:type="default" r:id="rId10"/>
      <w:footerReference w:type="default" r:id="rId11"/>
      <w:pgSz w:w="11906" w:h="16838"/>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C019A" w14:textId="77777777" w:rsidR="002F4DF9" w:rsidRDefault="002F4DF9" w:rsidP="00190099">
      <w:pPr>
        <w:spacing w:after="0" w:line="240" w:lineRule="auto"/>
      </w:pPr>
      <w:r>
        <w:separator/>
      </w:r>
    </w:p>
  </w:endnote>
  <w:endnote w:type="continuationSeparator" w:id="0">
    <w:p w14:paraId="4B68D3BA" w14:textId="77777777" w:rsidR="002F4DF9" w:rsidRDefault="002F4DF9" w:rsidP="00190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AA4A4" w14:textId="6C1AC3B8" w:rsidR="00535D34" w:rsidRPr="003407F7" w:rsidRDefault="00082CEC" w:rsidP="00535D34">
    <w:pPr>
      <w:pStyle w:val="Footer"/>
      <w:jc w:val="center"/>
      <w:rPr>
        <w:rFonts w:cs="Arial"/>
        <w:sz w:val="18"/>
        <w:szCs w:val="18"/>
      </w:rPr>
    </w:pPr>
    <w:r>
      <w:rPr>
        <w:noProof/>
      </w:rPr>
      <w:drawing>
        <wp:anchor distT="0" distB="0" distL="114300" distR="114300" simplePos="0" relativeHeight="251659264" behindDoc="1" locked="0" layoutInCell="1" allowOverlap="1" wp14:anchorId="0A748F58" wp14:editId="570EC14E">
          <wp:simplePos x="0" y="0"/>
          <wp:positionH relativeFrom="column">
            <wp:posOffset>-104140</wp:posOffset>
          </wp:positionH>
          <wp:positionV relativeFrom="paragraph">
            <wp:posOffset>9999980</wp:posOffset>
          </wp:positionV>
          <wp:extent cx="7555865" cy="688975"/>
          <wp:effectExtent l="0" t="0" r="0" b="0"/>
          <wp:wrapNone/>
          <wp:docPr id="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535D34" w:rsidRPr="003407F7">
      <w:rPr>
        <w:rFonts w:cs="Arial"/>
        <w:sz w:val="18"/>
        <w:szCs w:val="18"/>
      </w:rPr>
      <w:t xml:space="preserve">Page </w:t>
    </w:r>
    <w:r w:rsidR="00535D34" w:rsidRPr="003407F7">
      <w:rPr>
        <w:rFonts w:cs="Arial"/>
        <w:sz w:val="18"/>
        <w:szCs w:val="18"/>
      </w:rPr>
      <w:fldChar w:fldCharType="begin"/>
    </w:r>
    <w:r w:rsidR="00535D34" w:rsidRPr="003407F7">
      <w:rPr>
        <w:rFonts w:cs="Arial"/>
        <w:sz w:val="18"/>
        <w:szCs w:val="18"/>
      </w:rPr>
      <w:instrText xml:space="preserve"> PAGE </w:instrText>
    </w:r>
    <w:r w:rsidR="00535D34" w:rsidRPr="003407F7">
      <w:rPr>
        <w:rFonts w:cs="Arial"/>
        <w:sz w:val="18"/>
        <w:szCs w:val="18"/>
      </w:rPr>
      <w:fldChar w:fldCharType="separate"/>
    </w:r>
    <w:r w:rsidR="006D2B80" w:rsidRPr="003407F7">
      <w:rPr>
        <w:rFonts w:cs="Arial"/>
        <w:noProof/>
        <w:sz w:val="18"/>
        <w:szCs w:val="18"/>
      </w:rPr>
      <w:t>2</w:t>
    </w:r>
    <w:r w:rsidR="00535D34" w:rsidRPr="003407F7">
      <w:rPr>
        <w:rFonts w:cs="Arial"/>
        <w:sz w:val="18"/>
        <w:szCs w:val="18"/>
      </w:rPr>
      <w:fldChar w:fldCharType="end"/>
    </w:r>
    <w:r w:rsidR="00535D34" w:rsidRPr="003407F7">
      <w:rPr>
        <w:rFonts w:cs="Arial"/>
        <w:sz w:val="18"/>
        <w:szCs w:val="18"/>
      </w:rPr>
      <w:t xml:space="preserve"> of </w:t>
    </w:r>
    <w:r w:rsidR="00535D34" w:rsidRPr="003407F7">
      <w:rPr>
        <w:rFonts w:cs="Arial"/>
        <w:sz w:val="18"/>
        <w:szCs w:val="18"/>
      </w:rPr>
      <w:fldChar w:fldCharType="begin"/>
    </w:r>
    <w:r w:rsidR="00535D34" w:rsidRPr="003407F7">
      <w:rPr>
        <w:rFonts w:cs="Arial"/>
        <w:sz w:val="18"/>
        <w:szCs w:val="18"/>
      </w:rPr>
      <w:instrText xml:space="preserve"> NUMPAGES </w:instrText>
    </w:r>
    <w:r w:rsidR="00535D34" w:rsidRPr="003407F7">
      <w:rPr>
        <w:rFonts w:cs="Arial"/>
        <w:sz w:val="18"/>
        <w:szCs w:val="18"/>
      </w:rPr>
      <w:fldChar w:fldCharType="separate"/>
    </w:r>
    <w:r w:rsidR="006D2B80" w:rsidRPr="003407F7">
      <w:rPr>
        <w:rFonts w:cs="Arial"/>
        <w:noProof/>
        <w:sz w:val="18"/>
        <w:szCs w:val="18"/>
      </w:rPr>
      <w:t>3</w:t>
    </w:r>
    <w:r w:rsidR="00535D34" w:rsidRPr="003407F7">
      <w:rPr>
        <w:rFonts w:cs="Arial"/>
        <w:sz w:val="18"/>
        <w:szCs w:val="18"/>
      </w:rPr>
      <w:fldChar w:fldCharType="end"/>
    </w:r>
  </w:p>
  <w:p w14:paraId="311AEF83" w14:textId="4EE2A56C" w:rsidR="00535D34" w:rsidRDefault="00082CEC" w:rsidP="006B12AE">
    <w:pPr>
      <w:pStyle w:val="Footer"/>
      <w:tabs>
        <w:tab w:val="clear" w:pos="4513"/>
        <w:tab w:val="clear" w:pos="9026"/>
        <w:tab w:val="left" w:pos="7410"/>
      </w:tabs>
    </w:pPr>
    <w:r>
      <w:rPr>
        <w:noProof/>
      </w:rPr>
      <w:drawing>
        <wp:anchor distT="0" distB="0" distL="114300" distR="114300" simplePos="0" relativeHeight="251661312" behindDoc="1" locked="0" layoutInCell="1" allowOverlap="1" wp14:anchorId="5CA12B28" wp14:editId="396766E1">
          <wp:simplePos x="0" y="0"/>
          <wp:positionH relativeFrom="column">
            <wp:posOffset>-104140</wp:posOffset>
          </wp:positionH>
          <wp:positionV relativeFrom="paragraph">
            <wp:posOffset>9999980</wp:posOffset>
          </wp:positionV>
          <wp:extent cx="7555865" cy="688975"/>
          <wp:effectExtent l="0" t="0" r="0" b="0"/>
          <wp:wrapNone/>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3CEB03A5" wp14:editId="79D04469">
          <wp:simplePos x="0" y="0"/>
          <wp:positionH relativeFrom="column">
            <wp:posOffset>-104140</wp:posOffset>
          </wp:positionH>
          <wp:positionV relativeFrom="paragraph">
            <wp:posOffset>9999980</wp:posOffset>
          </wp:positionV>
          <wp:extent cx="7555865" cy="688975"/>
          <wp:effectExtent l="0" t="0" r="0" b="0"/>
          <wp:wrapNone/>
          <wp:docPr id="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6B12AE">
      <w:tab/>
    </w:r>
    <w:r>
      <w:rPr>
        <w:noProof/>
      </w:rPr>
      <w:drawing>
        <wp:anchor distT="0" distB="0" distL="114300" distR="114300" simplePos="0" relativeHeight="251669504" behindDoc="1" locked="0" layoutInCell="1" allowOverlap="1" wp14:anchorId="0433C52A" wp14:editId="773E9EAE">
          <wp:simplePos x="0" y="0"/>
          <wp:positionH relativeFrom="column">
            <wp:posOffset>-104140</wp:posOffset>
          </wp:positionH>
          <wp:positionV relativeFrom="paragraph">
            <wp:posOffset>9999980</wp:posOffset>
          </wp:positionV>
          <wp:extent cx="7555865" cy="688975"/>
          <wp:effectExtent l="0" t="0" r="0" b="0"/>
          <wp:wrapNone/>
          <wp:docPr id="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36EAA2BD" wp14:editId="32AD3B63">
          <wp:simplePos x="0" y="0"/>
          <wp:positionH relativeFrom="column">
            <wp:posOffset>-104140</wp:posOffset>
          </wp:positionH>
          <wp:positionV relativeFrom="paragraph">
            <wp:posOffset>9999980</wp:posOffset>
          </wp:positionV>
          <wp:extent cx="7555865" cy="688975"/>
          <wp:effectExtent l="0" t="0" r="0" b="0"/>
          <wp:wrapNone/>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67456" behindDoc="1" locked="0" layoutInCell="1" allowOverlap="1" wp14:anchorId="2A3249A5" wp14:editId="0CED92E8">
          <wp:simplePos x="0" y="0"/>
          <wp:positionH relativeFrom="column">
            <wp:posOffset>-104140</wp:posOffset>
          </wp:positionH>
          <wp:positionV relativeFrom="paragraph">
            <wp:posOffset>9999980</wp:posOffset>
          </wp:positionV>
          <wp:extent cx="7555865" cy="688975"/>
          <wp:effectExtent l="0" t="0" r="0" b="0"/>
          <wp:wrapNone/>
          <wp:docPr id="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2FAC9" w14:textId="77777777" w:rsidR="002F4DF9" w:rsidRDefault="002F4DF9" w:rsidP="00190099">
      <w:pPr>
        <w:spacing w:after="0" w:line="240" w:lineRule="auto"/>
      </w:pPr>
      <w:r>
        <w:separator/>
      </w:r>
    </w:p>
  </w:footnote>
  <w:footnote w:type="continuationSeparator" w:id="0">
    <w:p w14:paraId="2CCFDECF" w14:textId="77777777" w:rsidR="002F4DF9" w:rsidRDefault="002F4DF9" w:rsidP="00190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237E8" w14:textId="4CAAF95F" w:rsidR="00642CBC" w:rsidRPr="003407F7" w:rsidRDefault="006B12AE" w:rsidP="006B12AE">
    <w:pPr>
      <w:tabs>
        <w:tab w:val="center" w:pos="4513"/>
        <w:tab w:val="right" w:pos="9026"/>
      </w:tabs>
      <w:spacing w:after="0" w:line="240" w:lineRule="auto"/>
      <w:jc w:val="right"/>
      <w:rPr>
        <w:sz w:val="20"/>
        <w:szCs w:val="18"/>
      </w:rPr>
    </w:pPr>
    <w:r w:rsidRPr="006B12AE">
      <w:rPr>
        <w:noProof/>
      </w:rPr>
      <w:t xml:space="preserve"> </w:t>
    </w:r>
    <w:r>
      <w:rPr>
        <w:noProof/>
      </w:rPr>
      <w:t xml:space="preserve"> </w:t>
    </w:r>
    <w:r w:rsidR="00082CEC" w:rsidRPr="00236948">
      <w:rPr>
        <w:noProof/>
      </w:rPr>
      <w:drawing>
        <wp:inline distT="0" distB="0" distL="0" distR="0" wp14:anchorId="1526477B" wp14:editId="1AE7E0E2">
          <wp:extent cx="2314575" cy="485775"/>
          <wp:effectExtent l="0" t="0" r="0" b="0"/>
          <wp:docPr id="1"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485775"/>
                  </a:xfrm>
                  <a:prstGeom prst="rect">
                    <a:avLst/>
                  </a:prstGeom>
                  <a:noFill/>
                  <a:ln>
                    <a:noFill/>
                  </a:ln>
                </pic:spPr>
              </pic:pic>
            </a:graphicData>
          </a:graphic>
        </wp:inline>
      </w:drawing>
    </w:r>
  </w:p>
  <w:p w14:paraId="2785B0B3" w14:textId="77777777" w:rsidR="006B12AE" w:rsidRDefault="006B12AE" w:rsidP="00642CBC">
    <w:pPr>
      <w:tabs>
        <w:tab w:val="center" w:pos="4513"/>
        <w:tab w:val="right" w:pos="9026"/>
      </w:tabs>
      <w:spacing w:after="0" w:line="24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D3A80"/>
    <w:multiLevelType w:val="multilevel"/>
    <w:tmpl w:val="CE6E09EA"/>
    <w:lvl w:ilvl="0">
      <w:start w:val="1"/>
      <w:numFmt w:val="decimal"/>
      <w:lvlText w:val="%1."/>
      <w:lvlJc w:val="left"/>
      <w:pPr>
        <w:ind w:left="851" w:hanging="851"/>
      </w:pPr>
      <w:rPr>
        <w:rFonts w:ascii="Calibri" w:hAnsi="Calibri" w:hint="default"/>
        <w:b/>
        <w:caps/>
        <w:smallCaps w:val="0"/>
        <w:sz w:val="24"/>
      </w:rPr>
    </w:lvl>
    <w:lvl w:ilvl="1">
      <w:start w:val="1"/>
      <w:numFmt w:val="decimal"/>
      <w:lvlText w:val="3.%2"/>
      <w:lvlJc w:val="left"/>
      <w:pPr>
        <w:ind w:left="851" w:hanging="851"/>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right"/>
      <w:pPr>
        <w:ind w:left="1701" w:hanging="850"/>
      </w:pPr>
      <w:rPr>
        <w:rFonts w:hint="default"/>
      </w:rPr>
    </w:lvl>
    <w:lvl w:ilvl="3">
      <w:start w:val="1"/>
      <w:numFmt w:val="lowerRoman"/>
      <w:lvlText w:val="%4."/>
      <w:lvlJc w:val="left"/>
      <w:pPr>
        <w:ind w:left="2552" w:hanging="851"/>
      </w:pPr>
      <w:rPr>
        <w:rFonts w:hint="default"/>
      </w:rPr>
    </w:lvl>
    <w:lvl w:ilvl="4">
      <w:start w:val="1"/>
      <w:numFmt w:val="upperLetter"/>
      <w:lvlText w:val="%5."/>
      <w:lvlJc w:val="left"/>
      <w:pPr>
        <w:ind w:left="3402" w:hanging="850"/>
      </w:pPr>
      <w:rPr>
        <w:rFonts w:hint="default"/>
      </w:rPr>
    </w:lvl>
    <w:lvl w:ilvl="5">
      <w:start w:val="1"/>
      <w:numFmt w:val="lowerRoman"/>
      <w:lvlText w:val="%6."/>
      <w:lvlJc w:val="right"/>
      <w:pPr>
        <w:ind w:left="3686" w:hanging="851"/>
      </w:pPr>
      <w:rPr>
        <w:rFonts w:hint="default"/>
      </w:rPr>
    </w:lvl>
    <w:lvl w:ilvl="6">
      <w:start w:val="1"/>
      <w:numFmt w:val="decimal"/>
      <w:lvlText w:val="%7."/>
      <w:lvlJc w:val="left"/>
      <w:pPr>
        <w:ind w:left="4253" w:hanging="851"/>
      </w:pPr>
      <w:rPr>
        <w:rFonts w:hint="default"/>
      </w:rPr>
    </w:lvl>
    <w:lvl w:ilvl="7">
      <w:start w:val="1"/>
      <w:numFmt w:val="lowerLetter"/>
      <w:lvlText w:val="%8."/>
      <w:lvlJc w:val="left"/>
      <w:pPr>
        <w:ind w:left="4820" w:hanging="851"/>
      </w:pPr>
      <w:rPr>
        <w:rFonts w:hint="default"/>
      </w:rPr>
    </w:lvl>
    <w:lvl w:ilvl="8">
      <w:start w:val="1"/>
      <w:numFmt w:val="lowerRoman"/>
      <w:lvlText w:val="%9."/>
      <w:lvlJc w:val="right"/>
      <w:pPr>
        <w:ind w:left="5387" w:hanging="851"/>
      </w:pPr>
      <w:rPr>
        <w:rFonts w:hint="default"/>
      </w:rPr>
    </w:lvl>
  </w:abstractNum>
  <w:abstractNum w:abstractNumId="1" w15:restartNumberingAfterBreak="0">
    <w:nsid w:val="0E421A6D"/>
    <w:multiLevelType w:val="hybridMultilevel"/>
    <w:tmpl w:val="D854B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003718"/>
    <w:multiLevelType w:val="hybridMultilevel"/>
    <w:tmpl w:val="8190D6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9135082"/>
    <w:multiLevelType w:val="multilevel"/>
    <w:tmpl w:val="146E1ED8"/>
    <w:lvl w:ilvl="0">
      <w:start w:val="1"/>
      <w:numFmt w:val="decimal"/>
      <w:lvlText w:val="%1."/>
      <w:lvlJc w:val="left"/>
      <w:pPr>
        <w:ind w:left="360" w:hanging="360"/>
      </w:pPr>
      <w:rPr>
        <w:rFonts w:hint="default"/>
      </w:rPr>
    </w:lvl>
    <w:lvl w:ilvl="1">
      <w:start w:val="1"/>
      <w:numFmt w:val="decimal"/>
      <w:lvlText w:val="%1.%2."/>
      <w:lvlJc w:val="left"/>
      <w:pPr>
        <w:ind w:left="624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B613D30"/>
    <w:multiLevelType w:val="multilevel"/>
    <w:tmpl w:val="59A81478"/>
    <w:lvl w:ilvl="0">
      <w:start w:val="1"/>
      <w:numFmt w:val="decimal"/>
      <w:lvlText w:val="%1."/>
      <w:lvlJc w:val="left"/>
      <w:pPr>
        <w:ind w:left="360" w:hanging="360"/>
      </w:pPr>
    </w:lvl>
    <w:lvl w:ilvl="1">
      <w:start w:val="1"/>
      <w:numFmt w:val="decimal"/>
      <w:lvlText w:val="%1.%2."/>
      <w:lvlJc w:val="left"/>
      <w:pPr>
        <w:ind w:left="43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ED920CE"/>
    <w:multiLevelType w:val="hybridMultilevel"/>
    <w:tmpl w:val="47B09E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5C5287A"/>
    <w:multiLevelType w:val="hybridMultilevel"/>
    <w:tmpl w:val="16E249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3DA5F70"/>
    <w:multiLevelType w:val="hybridMultilevel"/>
    <w:tmpl w:val="1486A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A8E7EE6"/>
    <w:multiLevelType w:val="hybridMultilevel"/>
    <w:tmpl w:val="1F1A71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5"/>
  </w:num>
  <w:num w:numId="5">
    <w:abstractNumId w:val="2"/>
  </w:num>
  <w:num w:numId="6">
    <w:abstractNumId w:val="7"/>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forms" w:enforcement="0"/>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33CE7"/>
    <w:rsid w:val="00050A45"/>
    <w:rsid w:val="00054EA3"/>
    <w:rsid w:val="00082CEC"/>
    <w:rsid w:val="000E5182"/>
    <w:rsid w:val="000F5730"/>
    <w:rsid w:val="001214D0"/>
    <w:rsid w:val="00177580"/>
    <w:rsid w:val="00184BC9"/>
    <w:rsid w:val="00190099"/>
    <w:rsid w:val="001A00C6"/>
    <w:rsid w:val="001F4452"/>
    <w:rsid w:val="00241D44"/>
    <w:rsid w:val="00265533"/>
    <w:rsid w:val="00281F98"/>
    <w:rsid w:val="002B4FF1"/>
    <w:rsid w:val="002E3B87"/>
    <w:rsid w:val="002E4944"/>
    <w:rsid w:val="002F4DF9"/>
    <w:rsid w:val="003126EE"/>
    <w:rsid w:val="00316327"/>
    <w:rsid w:val="003407F7"/>
    <w:rsid w:val="00382FD8"/>
    <w:rsid w:val="00395960"/>
    <w:rsid w:val="003A65CE"/>
    <w:rsid w:val="003C18B6"/>
    <w:rsid w:val="004051BD"/>
    <w:rsid w:val="00406625"/>
    <w:rsid w:val="00440D95"/>
    <w:rsid w:val="004A776F"/>
    <w:rsid w:val="004D7693"/>
    <w:rsid w:val="005055CA"/>
    <w:rsid w:val="00520B91"/>
    <w:rsid w:val="005359BF"/>
    <w:rsid w:val="00535D34"/>
    <w:rsid w:val="0055315C"/>
    <w:rsid w:val="00591E05"/>
    <w:rsid w:val="00610CD2"/>
    <w:rsid w:val="006363AD"/>
    <w:rsid w:val="00642CBC"/>
    <w:rsid w:val="00662635"/>
    <w:rsid w:val="00665ADF"/>
    <w:rsid w:val="00681B66"/>
    <w:rsid w:val="006964B4"/>
    <w:rsid w:val="006A237B"/>
    <w:rsid w:val="006B12AE"/>
    <w:rsid w:val="006B6EB3"/>
    <w:rsid w:val="006D2B80"/>
    <w:rsid w:val="006D7DF6"/>
    <w:rsid w:val="00757451"/>
    <w:rsid w:val="00765341"/>
    <w:rsid w:val="007668C3"/>
    <w:rsid w:val="007A4130"/>
    <w:rsid w:val="007B58DD"/>
    <w:rsid w:val="007C149B"/>
    <w:rsid w:val="007E76AD"/>
    <w:rsid w:val="007F35A0"/>
    <w:rsid w:val="00864C91"/>
    <w:rsid w:val="00892828"/>
    <w:rsid w:val="00896471"/>
    <w:rsid w:val="008A1045"/>
    <w:rsid w:val="008A3740"/>
    <w:rsid w:val="008B5AF0"/>
    <w:rsid w:val="00914B8E"/>
    <w:rsid w:val="00996401"/>
    <w:rsid w:val="009A1F5B"/>
    <w:rsid w:val="009A5023"/>
    <w:rsid w:val="009A77C1"/>
    <w:rsid w:val="009B349B"/>
    <w:rsid w:val="009C28E2"/>
    <w:rsid w:val="009D7246"/>
    <w:rsid w:val="009E1BFA"/>
    <w:rsid w:val="00A026E5"/>
    <w:rsid w:val="00A96D1B"/>
    <w:rsid w:val="00AB313F"/>
    <w:rsid w:val="00AF45F8"/>
    <w:rsid w:val="00B142BB"/>
    <w:rsid w:val="00B15C8B"/>
    <w:rsid w:val="00B500A3"/>
    <w:rsid w:val="00B53784"/>
    <w:rsid w:val="00B83EC4"/>
    <w:rsid w:val="00B87795"/>
    <w:rsid w:val="00BC0550"/>
    <w:rsid w:val="00BC42BC"/>
    <w:rsid w:val="00BD16E3"/>
    <w:rsid w:val="00C00E4D"/>
    <w:rsid w:val="00C06B91"/>
    <w:rsid w:val="00C10A82"/>
    <w:rsid w:val="00C614C3"/>
    <w:rsid w:val="00C92DD2"/>
    <w:rsid w:val="00C97C92"/>
    <w:rsid w:val="00C97EB6"/>
    <w:rsid w:val="00CC4665"/>
    <w:rsid w:val="00D15070"/>
    <w:rsid w:val="00D337EA"/>
    <w:rsid w:val="00D708C7"/>
    <w:rsid w:val="00DD29A0"/>
    <w:rsid w:val="00DE7A8E"/>
    <w:rsid w:val="00DF605D"/>
    <w:rsid w:val="00E05BB2"/>
    <w:rsid w:val="00E12FCD"/>
    <w:rsid w:val="00E148C5"/>
    <w:rsid w:val="00E34EAE"/>
    <w:rsid w:val="00E35B95"/>
    <w:rsid w:val="00E407D4"/>
    <w:rsid w:val="00E71D89"/>
    <w:rsid w:val="00E804B3"/>
    <w:rsid w:val="00F31267"/>
    <w:rsid w:val="00F53A97"/>
    <w:rsid w:val="00F66C94"/>
    <w:rsid w:val="00F768FB"/>
    <w:rsid w:val="00FB3B3C"/>
    <w:rsid w:val="00FC419C"/>
    <w:rsid w:val="00FE78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FAF32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642CB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BC0550"/>
    <w:pPr>
      <w:keepNext/>
      <w:keepLines/>
      <w:spacing w:after="240" w:line="240" w:lineRule="auto"/>
      <w:ind w:left="851" w:hanging="851"/>
      <w:jc w:val="both"/>
      <w:outlineLvl w:val="1"/>
    </w:pPr>
    <w:rPr>
      <w:rFonts w:ascii="Arial" w:eastAsia="Times New Roman" w:hAnsi="Arial"/>
      <w:b/>
      <w:bCs/>
      <w:szCs w:val="26"/>
    </w:rPr>
  </w:style>
  <w:style w:type="paragraph" w:styleId="Heading3">
    <w:name w:val="heading 3"/>
    <w:basedOn w:val="Normal"/>
    <w:next w:val="Normal"/>
    <w:link w:val="Heading3Char"/>
    <w:uiPriority w:val="9"/>
    <w:semiHidden/>
    <w:unhideWhenUsed/>
    <w:qFormat/>
    <w:rsid w:val="00C614C3"/>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iPriority w:val="99"/>
    <w:unhideWhenUsed/>
    <w:rsid w:val="00190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099"/>
  </w:style>
  <w:style w:type="character" w:customStyle="1" w:styleId="Heading2Char">
    <w:name w:val="Heading 2 Char"/>
    <w:link w:val="Heading2"/>
    <w:uiPriority w:val="99"/>
    <w:rsid w:val="00BC0550"/>
    <w:rPr>
      <w:rFonts w:ascii="Arial" w:eastAsia="Times New Roman" w:hAnsi="Arial" w:cs="Times New Roman"/>
      <w:b/>
      <w:bCs/>
      <w:szCs w:val="26"/>
    </w:rPr>
  </w:style>
  <w:style w:type="character" w:styleId="PlaceholderText">
    <w:name w:val="Placeholder Text"/>
    <w:uiPriority w:val="99"/>
    <w:semiHidden/>
    <w:rsid w:val="007A4130"/>
    <w:rPr>
      <w:color w:val="808080"/>
    </w:rPr>
  </w:style>
  <w:style w:type="paragraph" w:styleId="BalloonText">
    <w:name w:val="Balloon Text"/>
    <w:basedOn w:val="Normal"/>
    <w:link w:val="BalloonTextChar"/>
    <w:uiPriority w:val="99"/>
    <w:semiHidden/>
    <w:unhideWhenUsed/>
    <w:rsid w:val="007A413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A4130"/>
    <w:rPr>
      <w:rFonts w:ascii="Tahoma" w:hAnsi="Tahoma" w:cs="Tahoma"/>
      <w:sz w:val="16"/>
      <w:szCs w:val="16"/>
    </w:rPr>
  </w:style>
  <w:style w:type="character" w:customStyle="1" w:styleId="Heading1Char">
    <w:name w:val="Heading 1 Char"/>
    <w:link w:val="Heading1"/>
    <w:uiPriority w:val="9"/>
    <w:rsid w:val="00642CBC"/>
    <w:rPr>
      <w:rFonts w:ascii="Cambria" w:eastAsia="Times New Roman" w:hAnsi="Cambria" w:cs="Times New Roman"/>
      <w:b/>
      <w:bCs/>
      <w:kern w:val="32"/>
      <w:sz w:val="32"/>
      <w:szCs w:val="32"/>
      <w:lang w:eastAsia="en-US"/>
    </w:rPr>
  </w:style>
  <w:style w:type="character" w:customStyle="1" w:styleId="Heading3Char">
    <w:name w:val="Heading 3 Char"/>
    <w:link w:val="Heading3"/>
    <w:uiPriority w:val="9"/>
    <w:semiHidden/>
    <w:rsid w:val="00C614C3"/>
    <w:rPr>
      <w:rFonts w:ascii="Calibri Light" w:eastAsia="Times New Roman" w:hAnsi="Calibri Light" w:cs="Times New Roman"/>
      <w:b/>
      <w:bCs/>
      <w:sz w:val="26"/>
      <w:szCs w:val="26"/>
      <w:lang w:eastAsia="en-US"/>
    </w:rPr>
  </w:style>
  <w:style w:type="paragraph" w:styleId="ListParagraph">
    <w:name w:val="List Paragraph"/>
    <w:basedOn w:val="Normal"/>
    <w:link w:val="ListParagraphChar"/>
    <w:uiPriority w:val="99"/>
    <w:qFormat/>
    <w:rsid w:val="006B12AE"/>
    <w:pPr>
      <w:spacing w:after="60" w:line="240" w:lineRule="auto"/>
      <w:ind w:left="851" w:hanging="851"/>
      <w:contextualSpacing/>
    </w:pPr>
    <w:rPr>
      <w:rFonts w:eastAsia="Times New Roman"/>
      <w:szCs w:val="24"/>
      <w:lang w:eastAsia="en-AU"/>
    </w:rPr>
  </w:style>
  <w:style w:type="character" w:customStyle="1" w:styleId="ListParagraphChar">
    <w:name w:val="List Paragraph Char"/>
    <w:link w:val="ListParagraph"/>
    <w:uiPriority w:val="99"/>
    <w:rsid w:val="006B12AE"/>
    <w:rPr>
      <w:rFonts w:eastAsia="Times New Roman"/>
      <w:sz w:val="22"/>
      <w:szCs w:val="24"/>
    </w:rPr>
  </w:style>
  <w:style w:type="paragraph" w:styleId="BodyText2">
    <w:name w:val="Body Text 2"/>
    <w:basedOn w:val="Normal"/>
    <w:link w:val="BodyText2Char"/>
    <w:semiHidden/>
    <w:unhideWhenUsed/>
    <w:rsid w:val="00054EA3"/>
    <w:pPr>
      <w:spacing w:after="120" w:line="480" w:lineRule="auto"/>
      <w:ind w:left="1701" w:hanging="850"/>
    </w:pPr>
    <w:rPr>
      <w:rFonts w:eastAsia="Times New Roman"/>
      <w:szCs w:val="24"/>
      <w:lang w:eastAsia="en-AU"/>
    </w:rPr>
  </w:style>
  <w:style w:type="character" w:customStyle="1" w:styleId="BodyText2Char">
    <w:name w:val="Body Text 2 Char"/>
    <w:basedOn w:val="DefaultParagraphFont"/>
    <w:link w:val="BodyText2"/>
    <w:semiHidden/>
    <w:rsid w:val="00054EA3"/>
    <w:rPr>
      <w:rFonts w:eastAsia="Times New Roman"/>
      <w:sz w:val="22"/>
      <w:szCs w:val="24"/>
    </w:rPr>
  </w:style>
  <w:style w:type="character" w:styleId="CommentReference">
    <w:name w:val="annotation reference"/>
    <w:basedOn w:val="DefaultParagraphFont"/>
    <w:uiPriority w:val="99"/>
    <w:semiHidden/>
    <w:unhideWhenUsed/>
    <w:rsid w:val="00406625"/>
    <w:rPr>
      <w:sz w:val="16"/>
      <w:szCs w:val="16"/>
    </w:rPr>
  </w:style>
  <w:style w:type="paragraph" w:styleId="CommentText">
    <w:name w:val="annotation text"/>
    <w:basedOn w:val="Normal"/>
    <w:link w:val="CommentTextChar"/>
    <w:uiPriority w:val="99"/>
    <w:unhideWhenUsed/>
    <w:rsid w:val="00406625"/>
    <w:pPr>
      <w:spacing w:line="240" w:lineRule="auto"/>
    </w:pPr>
    <w:rPr>
      <w:sz w:val="20"/>
      <w:szCs w:val="20"/>
    </w:rPr>
  </w:style>
  <w:style w:type="character" w:customStyle="1" w:styleId="CommentTextChar">
    <w:name w:val="Comment Text Char"/>
    <w:basedOn w:val="DefaultParagraphFont"/>
    <w:link w:val="CommentText"/>
    <w:uiPriority w:val="99"/>
    <w:rsid w:val="00406625"/>
    <w:rPr>
      <w:lang w:eastAsia="en-US"/>
    </w:rPr>
  </w:style>
  <w:style w:type="paragraph" w:styleId="CommentSubject">
    <w:name w:val="annotation subject"/>
    <w:basedOn w:val="CommentText"/>
    <w:next w:val="CommentText"/>
    <w:link w:val="CommentSubjectChar"/>
    <w:uiPriority w:val="99"/>
    <w:semiHidden/>
    <w:unhideWhenUsed/>
    <w:rsid w:val="00406625"/>
    <w:rPr>
      <w:b/>
      <w:bCs/>
    </w:rPr>
  </w:style>
  <w:style w:type="character" w:customStyle="1" w:styleId="CommentSubjectChar">
    <w:name w:val="Comment Subject Char"/>
    <w:basedOn w:val="CommentTextChar"/>
    <w:link w:val="CommentSubject"/>
    <w:uiPriority w:val="99"/>
    <w:semiHidden/>
    <w:rsid w:val="0040662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3D202A-5A1B-4F9F-B4FC-887C1AF3D930}">
  <ds:schemaRefs>
    <ds:schemaRef ds:uri="http://schemas.microsoft.com/sharepoint/v3/contenttype/forms"/>
  </ds:schemaRefs>
</ds:datastoreItem>
</file>

<file path=customXml/itemProps2.xml><?xml version="1.0" encoding="utf-8"?>
<ds:datastoreItem xmlns:ds="http://schemas.openxmlformats.org/officeDocument/2006/customXml" ds:itemID="{4DA58AF8-48E5-49FA-B8C4-497602FF0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52810-3e6c-44d6-a463-d26917084db2"/>
    <ds:schemaRef ds:uri="273944b2-c49e-4d9c-b47a-e2513151a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43A098-A70D-43E9-9785-AC076BADAE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2021-05-20T06:18:00Z</dcterms:created>
  <dcterms:modified xsi:type="dcterms:W3CDTF">2021-05-21T03:45:00Z</dcterms:modified>
</cp:coreProperties>
</file>